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und Sanierung der Karl-Brauckmann-Schule: WC-Trennwände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RV/ZV 26-063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und Erweiterung der Karl-Brauckmann-Schule: WC-Trennwände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